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1FC16" w14:textId="6066DAAF" w:rsidR="00EC2458" w:rsidRPr="00C33BE9" w:rsidRDefault="00EC2458" w:rsidP="00EC2458">
      <w:pPr>
        <w:spacing w:after="200" w:line="276" w:lineRule="auto"/>
        <w:ind w:right="252"/>
        <w:rPr>
          <w:szCs w:val="22"/>
          <w:lang w:val="en-GB"/>
        </w:rPr>
      </w:pPr>
      <w:r w:rsidRPr="00C33BE9">
        <w:rPr>
          <w:szCs w:val="22"/>
          <w:lang w:val="en-GB"/>
        </w:rPr>
        <w:t xml:space="preserve">Table </w:t>
      </w:r>
      <w:r w:rsidR="009E5C8D">
        <w:rPr>
          <w:szCs w:val="22"/>
          <w:lang w:val="en-GB"/>
        </w:rPr>
        <w:t>S</w:t>
      </w:r>
      <w:r>
        <w:rPr>
          <w:szCs w:val="22"/>
          <w:lang w:val="en-GB"/>
        </w:rPr>
        <w:t xml:space="preserve">2. </w:t>
      </w:r>
      <w:r w:rsidRPr="0095773E">
        <w:rPr>
          <w:szCs w:val="20"/>
          <w:lang w:val="en-GB"/>
        </w:rPr>
        <w:t xml:space="preserve">Number of protein coding genes </w:t>
      </w:r>
      <w:r w:rsidRPr="00843833">
        <w:rPr>
          <w:szCs w:val="20"/>
          <w:lang w:val="en-GB"/>
        </w:rPr>
        <w:t>of STM</w:t>
      </w:r>
      <w:r>
        <w:rPr>
          <w:szCs w:val="20"/>
          <w:lang w:val="en-GB"/>
        </w:rPr>
        <w:t xml:space="preserve"> </w:t>
      </w:r>
      <w:r w:rsidRPr="00843833">
        <w:rPr>
          <w:szCs w:val="20"/>
          <w:lang w:val="en-GB"/>
        </w:rPr>
        <w:t>6070</w:t>
      </w:r>
      <w:r w:rsidRPr="0095773E">
        <w:rPr>
          <w:i/>
          <w:szCs w:val="20"/>
          <w:lang w:val="en-GB"/>
        </w:rPr>
        <w:t xml:space="preserve"> </w:t>
      </w:r>
      <w:r w:rsidRPr="0095773E">
        <w:rPr>
          <w:szCs w:val="20"/>
          <w:lang w:val="en-GB"/>
        </w:rPr>
        <w:t>associated with the general COG functional categories</w:t>
      </w:r>
      <w:r>
        <w:rPr>
          <w:szCs w:val="20"/>
          <w:lang w:val="en-GB"/>
        </w:rPr>
        <w:t>.</w:t>
      </w:r>
      <w:bookmarkStart w:id="0" w:name="_GoBack"/>
      <w:bookmarkEnd w:id="0"/>
    </w:p>
    <w:tbl>
      <w:tblPr>
        <w:tblW w:w="9184" w:type="dxa"/>
        <w:tblLook w:val="04A0" w:firstRow="1" w:lastRow="0" w:firstColumn="1" w:lastColumn="0" w:noHBand="0" w:noVBand="1"/>
      </w:tblPr>
      <w:tblGrid>
        <w:gridCol w:w="794"/>
        <w:gridCol w:w="6066"/>
        <w:gridCol w:w="1020"/>
        <w:gridCol w:w="1304"/>
      </w:tblGrid>
      <w:tr w:rsidR="00EC2458" w14:paraId="40F1950F" w14:textId="77777777" w:rsidTr="0047276A">
        <w:tc>
          <w:tcPr>
            <w:tcW w:w="794" w:type="dxa"/>
            <w:vAlign w:val="center"/>
          </w:tcPr>
          <w:p w14:paraId="46109C6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Code</w:t>
            </w:r>
          </w:p>
        </w:tc>
        <w:tc>
          <w:tcPr>
            <w:tcW w:w="6066" w:type="dxa"/>
            <w:vAlign w:val="center"/>
          </w:tcPr>
          <w:p w14:paraId="064CEF0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COG Category with extra row at the beginning</w:t>
            </w:r>
          </w:p>
        </w:tc>
        <w:tc>
          <w:tcPr>
            <w:tcW w:w="1020" w:type="dxa"/>
            <w:vAlign w:val="center"/>
          </w:tcPr>
          <w:p w14:paraId="507B216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b/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Gene Count</w:t>
            </w:r>
          </w:p>
        </w:tc>
        <w:tc>
          <w:tcPr>
            <w:tcW w:w="1304" w:type="dxa"/>
            <w:vAlign w:val="center"/>
          </w:tcPr>
          <w:p w14:paraId="1EBC82C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% of total (5,705)</w:t>
            </w:r>
          </w:p>
        </w:tc>
      </w:tr>
      <w:tr w:rsidR="00EC2458" w14:paraId="2F3431CA" w14:textId="77777777" w:rsidTr="0047276A">
        <w:tc>
          <w:tcPr>
            <w:tcW w:w="794" w:type="dxa"/>
          </w:tcPr>
          <w:p w14:paraId="0EF043F5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326BC9DF" w14:textId="77777777" w:rsidR="00EC2458" w:rsidRPr="00396E81" w:rsidRDefault="00EC2458" w:rsidP="0047276A">
            <w:pPr>
              <w:pStyle w:val="Heading4"/>
              <w:shd w:val="clear" w:color="auto" w:fill="FFFFFF"/>
              <w:spacing w:before="0" w:line="270" w:lineRule="atLeast"/>
              <w:textAlignment w:val="baseline"/>
              <w:rPr>
                <w:rFonts w:ascii="Trebuchet MS" w:hAnsi="Trebuchet MS"/>
                <w:color w:val="006699"/>
                <w:sz w:val="18"/>
                <w:szCs w:val="18"/>
                <w:lang w:val="en-AU" w:eastAsia="en-AU"/>
              </w:rPr>
            </w:pPr>
            <w:r>
              <w:rPr>
                <w:rFonts w:ascii="Trebuchet MS" w:hAnsi="Trebuchet MS"/>
                <w:b/>
                <w:bCs/>
                <w:color w:val="006699"/>
                <w:sz w:val="18"/>
                <w:szCs w:val="18"/>
              </w:rPr>
              <w:t>CELLULAR PROCESSES AND SIGNALING</w:t>
            </w:r>
          </w:p>
        </w:tc>
        <w:tc>
          <w:tcPr>
            <w:tcW w:w="1020" w:type="dxa"/>
          </w:tcPr>
          <w:p w14:paraId="6C2C4ED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7ADA993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31A53BB7" w14:textId="77777777" w:rsidTr="0047276A">
        <w:tc>
          <w:tcPr>
            <w:tcW w:w="794" w:type="dxa"/>
          </w:tcPr>
          <w:p w14:paraId="0066DA6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D</w:t>
            </w:r>
          </w:p>
        </w:tc>
        <w:tc>
          <w:tcPr>
            <w:tcW w:w="6066" w:type="dxa"/>
          </w:tcPr>
          <w:p w14:paraId="04D4F72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cycle control, cell division, chromosome partitioning</w:t>
            </w:r>
          </w:p>
        </w:tc>
        <w:tc>
          <w:tcPr>
            <w:tcW w:w="1020" w:type="dxa"/>
          </w:tcPr>
          <w:p w14:paraId="791AA8A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33</w:t>
            </w:r>
          </w:p>
        </w:tc>
        <w:tc>
          <w:tcPr>
            <w:tcW w:w="1304" w:type="dxa"/>
          </w:tcPr>
          <w:p w14:paraId="0EC4DED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0.64</w:t>
            </w:r>
          </w:p>
        </w:tc>
      </w:tr>
      <w:tr w:rsidR="00EC2458" w14:paraId="191164E9" w14:textId="77777777" w:rsidTr="0047276A">
        <w:tc>
          <w:tcPr>
            <w:tcW w:w="794" w:type="dxa"/>
          </w:tcPr>
          <w:p w14:paraId="2AF0A70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M</w:t>
            </w:r>
          </w:p>
        </w:tc>
        <w:tc>
          <w:tcPr>
            <w:tcW w:w="6066" w:type="dxa"/>
          </w:tcPr>
          <w:p w14:paraId="6D43D52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wall/membrane/envelope biogenesis</w:t>
            </w:r>
          </w:p>
        </w:tc>
        <w:tc>
          <w:tcPr>
            <w:tcW w:w="1020" w:type="dxa"/>
          </w:tcPr>
          <w:p w14:paraId="5E55732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293</w:t>
            </w:r>
          </w:p>
        </w:tc>
        <w:tc>
          <w:tcPr>
            <w:tcW w:w="1304" w:type="dxa"/>
          </w:tcPr>
          <w:p w14:paraId="0F2EFFA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5.69</w:t>
            </w:r>
          </w:p>
        </w:tc>
      </w:tr>
      <w:tr w:rsidR="00EC2458" w14:paraId="50817F5F" w14:textId="77777777" w:rsidTr="0047276A">
        <w:tc>
          <w:tcPr>
            <w:tcW w:w="794" w:type="dxa"/>
          </w:tcPr>
          <w:p w14:paraId="4B58F29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N</w:t>
            </w:r>
          </w:p>
        </w:tc>
        <w:tc>
          <w:tcPr>
            <w:tcW w:w="6066" w:type="dxa"/>
          </w:tcPr>
          <w:p w14:paraId="2E5EA02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motility</w:t>
            </w:r>
          </w:p>
        </w:tc>
        <w:tc>
          <w:tcPr>
            <w:tcW w:w="1020" w:type="dxa"/>
          </w:tcPr>
          <w:p w14:paraId="7F33058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120</w:t>
            </w:r>
          </w:p>
        </w:tc>
        <w:tc>
          <w:tcPr>
            <w:tcW w:w="1304" w:type="dxa"/>
          </w:tcPr>
          <w:p w14:paraId="63690F6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2.33</w:t>
            </w:r>
          </w:p>
        </w:tc>
      </w:tr>
      <w:tr w:rsidR="00EC2458" w14:paraId="15D7467B" w14:textId="77777777" w:rsidTr="0047276A">
        <w:tc>
          <w:tcPr>
            <w:tcW w:w="794" w:type="dxa"/>
          </w:tcPr>
          <w:p w14:paraId="130030E3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O</w:t>
            </w:r>
          </w:p>
        </w:tc>
        <w:tc>
          <w:tcPr>
            <w:tcW w:w="6066" w:type="dxa"/>
          </w:tcPr>
          <w:p w14:paraId="096031F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Posttranslational modification, protein turnover, chaperones</w:t>
            </w:r>
          </w:p>
        </w:tc>
        <w:tc>
          <w:tcPr>
            <w:tcW w:w="1020" w:type="dxa"/>
          </w:tcPr>
          <w:p w14:paraId="4A6A48E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167</w:t>
            </w:r>
          </w:p>
        </w:tc>
        <w:tc>
          <w:tcPr>
            <w:tcW w:w="1304" w:type="dxa"/>
          </w:tcPr>
          <w:p w14:paraId="6A7B437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3.24</w:t>
            </w:r>
          </w:p>
        </w:tc>
      </w:tr>
      <w:tr w:rsidR="00EC2458" w14:paraId="47A0840D" w14:textId="77777777" w:rsidTr="0047276A">
        <w:tc>
          <w:tcPr>
            <w:tcW w:w="794" w:type="dxa"/>
          </w:tcPr>
          <w:p w14:paraId="7EB79CE5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T</w:t>
            </w:r>
          </w:p>
        </w:tc>
        <w:tc>
          <w:tcPr>
            <w:tcW w:w="6066" w:type="dxa"/>
          </w:tcPr>
          <w:p w14:paraId="650AF094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Signal transduction mechanisms</w:t>
            </w:r>
          </w:p>
        </w:tc>
        <w:tc>
          <w:tcPr>
            <w:tcW w:w="1020" w:type="dxa"/>
          </w:tcPr>
          <w:p w14:paraId="6FBC537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243</w:t>
            </w:r>
          </w:p>
        </w:tc>
        <w:tc>
          <w:tcPr>
            <w:tcW w:w="1304" w:type="dxa"/>
          </w:tcPr>
          <w:p w14:paraId="26DB56E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4.72</w:t>
            </w:r>
          </w:p>
        </w:tc>
      </w:tr>
      <w:tr w:rsidR="00EC2458" w14:paraId="4BE3C938" w14:textId="77777777" w:rsidTr="0047276A">
        <w:tc>
          <w:tcPr>
            <w:tcW w:w="794" w:type="dxa"/>
          </w:tcPr>
          <w:p w14:paraId="73F6B4CC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U</w:t>
            </w:r>
          </w:p>
        </w:tc>
        <w:tc>
          <w:tcPr>
            <w:tcW w:w="6066" w:type="dxa"/>
          </w:tcPr>
          <w:p w14:paraId="5A82DA4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Intracellular trafficking, secretion, and vesicular transport</w:t>
            </w:r>
          </w:p>
        </w:tc>
        <w:tc>
          <w:tcPr>
            <w:tcW w:w="1020" w:type="dxa"/>
          </w:tcPr>
          <w:p w14:paraId="68FD1D2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97</w:t>
            </w:r>
          </w:p>
        </w:tc>
        <w:tc>
          <w:tcPr>
            <w:tcW w:w="1304" w:type="dxa"/>
          </w:tcPr>
          <w:p w14:paraId="51552E7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1.88</w:t>
            </w:r>
          </w:p>
        </w:tc>
      </w:tr>
      <w:tr w:rsidR="00EC2458" w14:paraId="4DA98B2A" w14:textId="77777777" w:rsidTr="0047276A">
        <w:tc>
          <w:tcPr>
            <w:tcW w:w="794" w:type="dxa"/>
          </w:tcPr>
          <w:p w14:paraId="7CAB42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V</w:t>
            </w:r>
          </w:p>
        </w:tc>
        <w:tc>
          <w:tcPr>
            <w:tcW w:w="6066" w:type="dxa"/>
          </w:tcPr>
          <w:p w14:paraId="5117D56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proofErr w:type="spellStart"/>
            <w:r w:rsidRPr="00325C11">
              <w:rPr>
                <w:szCs w:val="20"/>
                <w:lang w:val="en-GB"/>
              </w:rPr>
              <w:t>Defense</w:t>
            </w:r>
            <w:proofErr w:type="spellEnd"/>
            <w:r w:rsidRPr="00325C11">
              <w:rPr>
                <w:szCs w:val="20"/>
                <w:lang w:val="en-GB"/>
              </w:rPr>
              <w:t xml:space="preserve"> mechanisms</w:t>
            </w:r>
          </w:p>
        </w:tc>
        <w:tc>
          <w:tcPr>
            <w:tcW w:w="1020" w:type="dxa"/>
          </w:tcPr>
          <w:p w14:paraId="1A639F4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121</w:t>
            </w:r>
          </w:p>
        </w:tc>
        <w:tc>
          <w:tcPr>
            <w:tcW w:w="1304" w:type="dxa"/>
          </w:tcPr>
          <w:p w14:paraId="7AE210C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2.35</w:t>
            </w:r>
          </w:p>
        </w:tc>
      </w:tr>
      <w:tr w:rsidR="00EC2458" w14:paraId="56FB00AB" w14:textId="77777777" w:rsidTr="0047276A">
        <w:tc>
          <w:tcPr>
            <w:tcW w:w="794" w:type="dxa"/>
          </w:tcPr>
          <w:p w14:paraId="7C4C960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W</w:t>
            </w:r>
          </w:p>
        </w:tc>
        <w:tc>
          <w:tcPr>
            <w:tcW w:w="6066" w:type="dxa"/>
          </w:tcPr>
          <w:p w14:paraId="2123BD1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Extracellular structures</w:t>
            </w:r>
          </w:p>
        </w:tc>
        <w:tc>
          <w:tcPr>
            <w:tcW w:w="1020" w:type="dxa"/>
          </w:tcPr>
          <w:p w14:paraId="731916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52</w:t>
            </w:r>
          </w:p>
        </w:tc>
        <w:tc>
          <w:tcPr>
            <w:tcW w:w="1304" w:type="dxa"/>
          </w:tcPr>
          <w:p w14:paraId="2475D1B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1.01</w:t>
            </w:r>
          </w:p>
        </w:tc>
      </w:tr>
      <w:tr w:rsidR="00EC2458" w14:paraId="51946D0E" w14:textId="77777777" w:rsidTr="0047276A">
        <w:tc>
          <w:tcPr>
            <w:tcW w:w="794" w:type="dxa"/>
          </w:tcPr>
          <w:p w14:paraId="765579E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Z</w:t>
            </w:r>
          </w:p>
        </w:tc>
        <w:tc>
          <w:tcPr>
            <w:tcW w:w="6066" w:type="dxa"/>
          </w:tcPr>
          <w:p w14:paraId="4831C42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Cytoskeleton</w:t>
            </w:r>
          </w:p>
        </w:tc>
        <w:tc>
          <w:tcPr>
            <w:tcW w:w="1020" w:type="dxa"/>
          </w:tcPr>
          <w:p w14:paraId="383F83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</w:t>
            </w:r>
          </w:p>
        </w:tc>
        <w:tc>
          <w:tcPr>
            <w:tcW w:w="1304" w:type="dxa"/>
          </w:tcPr>
          <w:p w14:paraId="77995D1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0.02</w:t>
            </w:r>
          </w:p>
        </w:tc>
      </w:tr>
      <w:tr w:rsidR="00EC2458" w14:paraId="602BA99C" w14:textId="77777777" w:rsidTr="0047276A">
        <w:tc>
          <w:tcPr>
            <w:tcW w:w="794" w:type="dxa"/>
          </w:tcPr>
          <w:p w14:paraId="4628931E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1DA0C85B" w14:textId="77777777" w:rsidR="00EC2458" w:rsidRPr="00233B24" w:rsidRDefault="00EC2458" w:rsidP="0047276A">
            <w:pPr>
              <w:pStyle w:val="Heading4"/>
              <w:shd w:val="clear" w:color="auto" w:fill="FFFFFF"/>
              <w:spacing w:before="0" w:line="270" w:lineRule="atLeast"/>
              <w:textAlignment w:val="baseline"/>
              <w:rPr>
                <w:rFonts w:ascii="Trebuchet MS" w:hAnsi="Trebuchet MS"/>
                <w:color w:val="006699"/>
                <w:sz w:val="18"/>
                <w:szCs w:val="18"/>
                <w:lang w:val="en-AU" w:eastAsia="en-AU"/>
              </w:rPr>
            </w:pPr>
            <w:r>
              <w:rPr>
                <w:rFonts w:ascii="Trebuchet MS" w:hAnsi="Trebuchet MS"/>
                <w:b/>
                <w:bCs/>
                <w:color w:val="006699"/>
                <w:sz w:val="18"/>
                <w:szCs w:val="18"/>
              </w:rPr>
              <w:t>INFORMATION STORAGE AND PROCESSING</w:t>
            </w:r>
          </w:p>
        </w:tc>
        <w:tc>
          <w:tcPr>
            <w:tcW w:w="1020" w:type="dxa"/>
          </w:tcPr>
          <w:p w14:paraId="3C33187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0F3E32B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2F5B0D0A" w14:textId="77777777" w:rsidTr="0047276A">
        <w:tc>
          <w:tcPr>
            <w:tcW w:w="794" w:type="dxa"/>
          </w:tcPr>
          <w:p w14:paraId="0616A270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A</w:t>
            </w:r>
          </w:p>
        </w:tc>
        <w:tc>
          <w:tcPr>
            <w:tcW w:w="6066" w:type="dxa"/>
          </w:tcPr>
          <w:p w14:paraId="2D62513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RNA processing and modification</w:t>
            </w:r>
          </w:p>
        </w:tc>
        <w:tc>
          <w:tcPr>
            <w:tcW w:w="1020" w:type="dxa"/>
          </w:tcPr>
          <w:p w14:paraId="2FD2A37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</w:t>
            </w:r>
          </w:p>
        </w:tc>
        <w:tc>
          <w:tcPr>
            <w:tcW w:w="1304" w:type="dxa"/>
          </w:tcPr>
          <w:p w14:paraId="3ED5E91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0.02</w:t>
            </w:r>
          </w:p>
        </w:tc>
      </w:tr>
      <w:tr w:rsidR="00EC2458" w14:paraId="343D262F" w14:textId="77777777" w:rsidTr="0047276A">
        <w:tc>
          <w:tcPr>
            <w:tcW w:w="794" w:type="dxa"/>
          </w:tcPr>
          <w:p w14:paraId="531006A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B</w:t>
            </w:r>
          </w:p>
        </w:tc>
        <w:tc>
          <w:tcPr>
            <w:tcW w:w="6066" w:type="dxa"/>
          </w:tcPr>
          <w:p w14:paraId="28DB521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Chromatin structure and dynamics</w:t>
            </w:r>
          </w:p>
        </w:tc>
        <w:tc>
          <w:tcPr>
            <w:tcW w:w="1020" w:type="dxa"/>
          </w:tcPr>
          <w:p w14:paraId="00E8082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</w:t>
            </w:r>
          </w:p>
        </w:tc>
        <w:tc>
          <w:tcPr>
            <w:tcW w:w="1304" w:type="dxa"/>
          </w:tcPr>
          <w:p w14:paraId="608D9FE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0.06</w:t>
            </w:r>
          </w:p>
        </w:tc>
      </w:tr>
      <w:tr w:rsidR="00EC2458" w14:paraId="335AB61A" w14:textId="77777777" w:rsidTr="0047276A">
        <w:tc>
          <w:tcPr>
            <w:tcW w:w="794" w:type="dxa"/>
          </w:tcPr>
          <w:p w14:paraId="28EEAB46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J</w:t>
            </w:r>
          </w:p>
        </w:tc>
        <w:tc>
          <w:tcPr>
            <w:tcW w:w="6066" w:type="dxa"/>
          </w:tcPr>
          <w:p w14:paraId="672D59D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Translation, ribosomal, structure and biogenesis</w:t>
            </w:r>
          </w:p>
        </w:tc>
        <w:tc>
          <w:tcPr>
            <w:tcW w:w="1020" w:type="dxa"/>
          </w:tcPr>
          <w:p w14:paraId="51DD97C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228</w:t>
            </w:r>
          </w:p>
        </w:tc>
        <w:tc>
          <w:tcPr>
            <w:tcW w:w="1304" w:type="dxa"/>
          </w:tcPr>
          <w:p w14:paraId="3D13957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4.43</w:t>
            </w:r>
          </w:p>
        </w:tc>
      </w:tr>
      <w:tr w:rsidR="00EC2458" w14:paraId="14E6E830" w14:textId="77777777" w:rsidTr="0047276A">
        <w:tc>
          <w:tcPr>
            <w:tcW w:w="794" w:type="dxa"/>
          </w:tcPr>
          <w:p w14:paraId="3A08C72E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K</w:t>
            </w:r>
          </w:p>
        </w:tc>
        <w:tc>
          <w:tcPr>
            <w:tcW w:w="6066" w:type="dxa"/>
          </w:tcPr>
          <w:p w14:paraId="7DCE115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Transcription</w:t>
            </w:r>
          </w:p>
        </w:tc>
        <w:tc>
          <w:tcPr>
            <w:tcW w:w="1020" w:type="dxa"/>
          </w:tcPr>
          <w:p w14:paraId="657C2A7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497</w:t>
            </w:r>
          </w:p>
        </w:tc>
        <w:tc>
          <w:tcPr>
            <w:tcW w:w="1304" w:type="dxa"/>
          </w:tcPr>
          <w:p w14:paraId="67752A5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9.66</w:t>
            </w:r>
          </w:p>
        </w:tc>
      </w:tr>
      <w:tr w:rsidR="00EC2458" w14:paraId="25999963" w14:textId="77777777" w:rsidTr="0047276A">
        <w:tc>
          <w:tcPr>
            <w:tcW w:w="794" w:type="dxa"/>
          </w:tcPr>
          <w:p w14:paraId="796627F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L</w:t>
            </w:r>
          </w:p>
        </w:tc>
        <w:tc>
          <w:tcPr>
            <w:tcW w:w="6066" w:type="dxa"/>
          </w:tcPr>
          <w:p w14:paraId="5F18273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Replication, recombination and repair</w:t>
            </w:r>
          </w:p>
        </w:tc>
        <w:tc>
          <w:tcPr>
            <w:tcW w:w="1020" w:type="dxa"/>
          </w:tcPr>
          <w:p w14:paraId="3CA545D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138</w:t>
            </w:r>
          </w:p>
        </w:tc>
        <w:tc>
          <w:tcPr>
            <w:tcW w:w="1304" w:type="dxa"/>
          </w:tcPr>
          <w:p w14:paraId="2B743EC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2.68</w:t>
            </w:r>
          </w:p>
        </w:tc>
      </w:tr>
      <w:tr w:rsidR="00EC2458" w14:paraId="18907BA2" w14:textId="77777777" w:rsidTr="0047276A">
        <w:tc>
          <w:tcPr>
            <w:tcW w:w="794" w:type="dxa"/>
          </w:tcPr>
          <w:p w14:paraId="109E21D1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1D8400E8" w14:textId="77777777" w:rsidR="00EC2458" w:rsidRPr="00233B24" w:rsidRDefault="00EC2458" w:rsidP="0047276A">
            <w:pPr>
              <w:pStyle w:val="Heading4"/>
              <w:shd w:val="clear" w:color="auto" w:fill="FFFFFF"/>
              <w:spacing w:before="0" w:line="270" w:lineRule="atLeast"/>
              <w:textAlignment w:val="baseline"/>
              <w:rPr>
                <w:rFonts w:ascii="Trebuchet MS" w:hAnsi="Trebuchet MS"/>
                <w:color w:val="006699"/>
                <w:sz w:val="18"/>
                <w:szCs w:val="18"/>
                <w:lang w:val="en-AU" w:eastAsia="en-AU"/>
              </w:rPr>
            </w:pPr>
            <w:r>
              <w:rPr>
                <w:rFonts w:ascii="Trebuchet MS" w:hAnsi="Trebuchet MS"/>
                <w:b/>
                <w:bCs/>
                <w:color w:val="006699"/>
                <w:sz w:val="18"/>
                <w:szCs w:val="18"/>
              </w:rPr>
              <w:t>METABOLISM</w:t>
            </w:r>
          </w:p>
        </w:tc>
        <w:tc>
          <w:tcPr>
            <w:tcW w:w="1020" w:type="dxa"/>
          </w:tcPr>
          <w:p w14:paraId="6C237DA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289934E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7E50E80A" w14:textId="77777777" w:rsidTr="0047276A">
        <w:tc>
          <w:tcPr>
            <w:tcW w:w="794" w:type="dxa"/>
          </w:tcPr>
          <w:p w14:paraId="79E3C24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C</w:t>
            </w:r>
          </w:p>
        </w:tc>
        <w:tc>
          <w:tcPr>
            <w:tcW w:w="6066" w:type="dxa"/>
          </w:tcPr>
          <w:p w14:paraId="31A1022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Energy production and conversion</w:t>
            </w:r>
          </w:p>
        </w:tc>
        <w:tc>
          <w:tcPr>
            <w:tcW w:w="1020" w:type="dxa"/>
          </w:tcPr>
          <w:p w14:paraId="08DB417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503</w:t>
            </w:r>
          </w:p>
        </w:tc>
        <w:tc>
          <w:tcPr>
            <w:tcW w:w="1304" w:type="dxa"/>
          </w:tcPr>
          <w:p w14:paraId="5E6C5DA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9.77</w:t>
            </w:r>
          </w:p>
        </w:tc>
      </w:tr>
      <w:tr w:rsidR="00EC2458" w14:paraId="4A1FC613" w14:textId="77777777" w:rsidTr="0047276A">
        <w:tc>
          <w:tcPr>
            <w:tcW w:w="794" w:type="dxa"/>
          </w:tcPr>
          <w:p w14:paraId="00E2BFD2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E</w:t>
            </w:r>
          </w:p>
        </w:tc>
        <w:tc>
          <w:tcPr>
            <w:tcW w:w="6066" w:type="dxa"/>
          </w:tcPr>
          <w:p w14:paraId="15E59C4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Amino acid transport and metabolism</w:t>
            </w:r>
          </w:p>
        </w:tc>
        <w:tc>
          <w:tcPr>
            <w:tcW w:w="1020" w:type="dxa"/>
          </w:tcPr>
          <w:p w14:paraId="24A82F9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474</w:t>
            </w:r>
          </w:p>
        </w:tc>
        <w:tc>
          <w:tcPr>
            <w:tcW w:w="1304" w:type="dxa"/>
          </w:tcPr>
          <w:p w14:paraId="6336D89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9.21</w:t>
            </w:r>
          </w:p>
        </w:tc>
      </w:tr>
      <w:tr w:rsidR="00EC2458" w14:paraId="2CF54D66" w14:textId="77777777" w:rsidTr="0047276A">
        <w:tc>
          <w:tcPr>
            <w:tcW w:w="794" w:type="dxa"/>
          </w:tcPr>
          <w:p w14:paraId="3FFEA550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F</w:t>
            </w:r>
          </w:p>
        </w:tc>
        <w:tc>
          <w:tcPr>
            <w:tcW w:w="6066" w:type="dxa"/>
          </w:tcPr>
          <w:p w14:paraId="2718C2C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Nucleotide transport and metabolism</w:t>
            </w:r>
          </w:p>
        </w:tc>
        <w:tc>
          <w:tcPr>
            <w:tcW w:w="1020" w:type="dxa"/>
          </w:tcPr>
          <w:p w14:paraId="7BF6436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96</w:t>
            </w:r>
          </w:p>
        </w:tc>
        <w:tc>
          <w:tcPr>
            <w:tcW w:w="1304" w:type="dxa"/>
          </w:tcPr>
          <w:p w14:paraId="3183EBA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1.87</w:t>
            </w:r>
          </w:p>
        </w:tc>
      </w:tr>
      <w:tr w:rsidR="00EC2458" w14:paraId="35595D19" w14:textId="77777777" w:rsidTr="0047276A">
        <w:tc>
          <w:tcPr>
            <w:tcW w:w="794" w:type="dxa"/>
          </w:tcPr>
          <w:p w14:paraId="59A71E11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G</w:t>
            </w:r>
          </w:p>
        </w:tc>
        <w:tc>
          <w:tcPr>
            <w:tcW w:w="6066" w:type="dxa"/>
          </w:tcPr>
          <w:p w14:paraId="7B394E1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Carbohydrate transport and metabolism</w:t>
            </w:r>
          </w:p>
        </w:tc>
        <w:tc>
          <w:tcPr>
            <w:tcW w:w="1020" w:type="dxa"/>
          </w:tcPr>
          <w:p w14:paraId="6076838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239</w:t>
            </w:r>
          </w:p>
        </w:tc>
        <w:tc>
          <w:tcPr>
            <w:tcW w:w="1304" w:type="dxa"/>
          </w:tcPr>
          <w:p w14:paraId="3D9FC51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4.64</w:t>
            </w:r>
          </w:p>
        </w:tc>
      </w:tr>
      <w:tr w:rsidR="00EC2458" w14:paraId="4EED95BD" w14:textId="77777777" w:rsidTr="0047276A">
        <w:tc>
          <w:tcPr>
            <w:tcW w:w="794" w:type="dxa"/>
          </w:tcPr>
          <w:p w14:paraId="40555C14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H</w:t>
            </w:r>
          </w:p>
        </w:tc>
        <w:tc>
          <w:tcPr>
            <w:tcW w:w="6066" w:type="dxa"/>
          </w:tcPr>
          <w:p w14:paraId="25BA367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Coenzyme transport and metabolism</w:t>
            </w:r>
          </w:p>
        </w:tc>
        <w:tc>
          <w:tcPr>
            <w:tcW w:w="1020" w:type="dxa"/>
          </w:tcPr>
          <w:p w14:paraId="73C967B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237</w:t>
            </w:r>
          </w:p>
        </w:tc>
        <w:tc>
          <w:tcPr>
            <w:tcW w:w="1304" w:type="dxa"/>
          </w:tcPr>
          <w:p w14:paraId="109C156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4.60</w:t>
            </w:r>
          </w:p>
        </w:tc>
      </w:tr>
      <w:tr w:rsidR="00EC2458" w14:paraId="1FEB7DA5" w14:textId="77777777" w:rsidTr="0047276A">
        <w:tc>
          <w:tcPr>
            <w:tcW w:w="794" w:type="dxa"/>
          </w:tcPr>
          <w:p w14:paraId="0B964988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I</w:t>
            </w:r>
          </w:p>
        </w:tc>
        <w:tc>
          <w:tcPr>
            <w:tcW w:w="6066" w:type="dxa"/>
          </w:tcPr>
          <w:p w14:paraId="1F8FA00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Lipid transport and metabolism</w:t>
            </w:r>
          </w:p>
        </w:tc>
        <w:tc>
          <w:tcPr>
            <w:tcW w:w="1020" w:type="dxa"/>
          </w:tcPr>
          <w:p w14:paraId="63FAFA2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354</w:t>
            </w:r>
          </w:p>
        </w:tc>
        <w:tc>
          <w:tcPr>
            <w:tcW w:w="1304" w:type="dxa"/>
          </w:tcPr>
          <w:p w14:paraId="2E5C245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6.88</w:t>
            </w:r>
          </w:p>
        </w:tc>
      </w:tr>
      <w:tr w:rsidR="00EC2458" w14:paraId="1C84D6FB" w14:textId="77777777" w:rsidTr="0047276A">
        <w:tc>
          <w:tcPr>
            <w:tcW w:w="794" w:type="dxa"/>
          </w:tcPr>
          <w:p w14:paraId="283FDA7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P</w:t>
            </w:r>
          </w:p>
        </w:tc>
        <w:tc>
          <w:tcPr>
            <w:tcW w:w="6066" w:type="dxa"/>
          </w:tcPr>
          <w:p w14:paraId="34ACD18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Inorganic ion transport and metabolism</w:t>
            </w:r>
          </w:p>
        </w:tc>
        <w:tc>
          <w:tcPr>
            <w:tcW w:w="1020" w:type="dxa"/>
          </w:tcPr>
          <w:p w14:paraId="64F03BF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290</w:t>
            </w:r>
          </w:p>
        </w:tc>
        <w:tc>
          <w:tcPr>
            <w:tcW w:w="1304" w:type="dxa"/>
          </w:tcPr>
          <w:p w14:paraId="6F39EEA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5.63</w:t>
            </w:r>
          </w:p>
        </w:tc>
      </w:tr>
      <w:tr w:rsidR="00EC2458" w14:paraId="2D70881D" w14:textId="77777777" w:rsidTr="0047276A">
        <w:tc>
          <w:tcPr>
            <w:tcW w:w="794" w:type="dxa"/>
          </w:tcPr>
          <w:p w14:paraId="2F382716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Q</w:t>
            </w:r>
          </w:p>
        </w:tc>
        <w:tc>
          <w:tcPr>
            <w:tcW w:w="6066" w:type="dxa"/>
          </w:tcPr>
          <w:p w14:paraId="184050E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Secondary metabolite biosynthesis, transport and catabolism</w:t>
            </w:r>
          </w:p>
        </w:tc>
        <w:tc>
          <w:tcPr>
            <w:tcW w:w="1020" w:type="dxa"/>
          </w:tcPr>
          <w:p w14:paraId="766CACE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201</w:t>
            </w:r>
          </w:p>
        </w:tc>
        <w:tc>
          <w:tcPr>
            <w:tcW w:w="1304" w:type="dxa"/>
          </w:tcPr>
          <w:p w14:paraId="4232AF0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3.91</w:t>
            </w:r>
          </w:p>
        </w:tc>
      </w:tr>
      <w:tr w:rsidR="00EC2458" w14:paraId="00E7BDFF" w14:textId="77777777" w:rsidTr="0047276A">
        <w:tc>
          <w:tcPr>
            <w:tcW w:w="794" w:type="dxa"/>
          </w:tcPr>
          <w:p w14:paraId="512296B4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36FC4CE2" w14:textId="77777777" w:rsidR="00EC2458" w:rsidRPr="00CE3DDE" w:rsidRDefault="00EC2458" w:rsidP="0047276A">
            <w:pPr>
              <w:pStyle w:val="Heading4"/>
              <w:shd w:val="clear" w:color="auto" w:fill="FFFFFF"/>
              <w:spacing w:before="0" w:line="270" w:lineRule="atLeast"/>
              <w:textAlignment w:val="baseline"/>
              <w:rPr>
                <w:rFonts w:ascii="Trebuchet MS" w:hAnsi="Trebuchet MS"/>
                <w:color w:val="006699"/>
                <w:sz w:val="18"/>
                <w:szCs w:val="18"/>
                <w:lang w:val="en-AU" w:eastAsia="en-AU"/>
              </w:rPr>
            </w:pPr>
            <w:r>
              <w:rPr>
                <w:rFonts w:ascii="Trebuchet MS" w:hAnsi="Trebuchet MS"/>
                <w:b/>
                <w:bCs/>
                <w:color w:val="006699"/>
                <w:sz w:val="18"/>
                <w:szCs w:val="18"/>
              </w:rPr>
              <w:t>POORLY CHARACTERIZED</w:t>
            </w:r>
          </w:p>
        </w:tc>
        <w:tc>
          <w:tcPr>
            <w:tcW w:w="1020" w:type="dxa"/>
          </w:tcPr>
          <w:p w14:paraId="081E5D9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0FF9E58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2CCFDB87" w14:textId="77777777" w:rsidTr="0047276A">
        <w:tc>
          <w:tcPr>
            <w:tcW w:w="794" w:type="dxa"/>
          </w:tcPr>
          <w:p w14:paraId="5570917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R</w:t>
            </w:r>
          </w:p>
        </w:tc>
        <w:tc>
          <w:tcPr>
            <w:tcW w:w="6066" w:type="dxa"/>
          </w:tcPr>
          <w:p w14:paraId="5A89540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General function prediction only</w:t>
            </w:r>
          </w:p>
        </w:tc>
        <w:tc>
          <w:tcPr>
            <w:tcW w:w="1020" w:type="dxa"/>
          </w:tcPr>
          <w:p w14:paraId="616A698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504</w:t>
            </w:r>
          </w:p>
        </w:tc>
        <w:tc>
          <w:tcPr>
            <w:tcW w:w="1304" w:type="dxa"/>
          </w:tcPr>
          <w:p w14:paraId="4A5EAAE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9.79</w:t>
            </w:r>
          </w:p>
        </w:tc>
      </w:tr>
      <w:tr w:rsidR="00EC2458" w14:paraId="21E9289D" w14:textId="77777777" w:rsidTr="0047276A">
        <w:tc>
          <w:tcPr>
            <w:tcW w:w="794" w:type="dxa"/>
          </w:tcPr>
          <w:p w14:paraId="3D25A1EF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S</w:t>
            </w:r>
          </w:p>
        </w:tc>
        <w:tc>
          <w:tcPr>
            <w:tcW w:w="6066" w:type="dxa"/>
          </w:tcPr>
          <w:p w14:paraId="67C22A2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Function unknown</w:t>
            </w:r>
          </w:p>
        </w:tc>
        <w:tc>
          <w:tcPr>
            <w:tcW w:w="1020" w:type="dxa"/>
          </w:tcPr>
          <w:p w14:paraId="1ED7522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216</w:t>
            </w:r>
          </w:p>
        </w:tc>
        <w:tc>
          <w:tcPr>
            <w:tcW w:w="1304" w:type="dxa"/>
          </w:tcPr>
          <w:p w14:paraId="4577D9B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4.20</w:t>
            </w:r>
          </w:p>
        </w:tc>
      </w:tr>
      <w:tr w:rsidR="00EC2458" w14:paraId="04B6857D" w14:textId="77777777" w:rsidTr="0047276A">
        <w:tc>
          <w:tcPr>
            <w:tcW w:w="794" w:type="dxa"/>
          </w:tcPr>
          <w:p w14:paraId="08C7D9AB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  <w:t>X</w:t>
            </w:r>
          </w:p>
        </w:tc>
        <w:tc>
          <w:tcPr>
            <w:tcW w:w="6066" w:type="dxa"/>
          </w:tcPr>
          <w:p w14:paraId="75F6254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>
              <w:rPr>
                <w:color w:val="000000"/>
                <w:shd w:val="clear" w:color="auto" w:fill="FFFFFF"/>
              </w:rPr>
              <w:t>Phage-derived proteins, transposases and other mobilome components</w:t>
            </w:r>
          </w:p>
        </w:tc>
        <w:tc>
          <w:tcPr>
            <w:tcW w:w="1020" w:type="dxa"/>
          </w:tcPr>
          <w:p w14:paraId="7F01CCF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39</w:t>
            </w:r>
          </w:p>
        </w:tc>
        <w:tc>
          <w:tcPr>
            <w:tcW w:w="1304" w:type="dxa"/>
          </w:tcPr>
          <w:p w14:paraId="03202EF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0.76</w:t>
            </w:r>
          </w:p>
        </w:tc>
      </w:tr>
      <w:tr w:rsidR="00EC2458" w14:paraId="7DA4E545" w14:textId="77777777" w:rsidTr="0047276A">
        <w:tc>
          <w:tcPr>
            <w:tcW w:w="794" w:type="dxa"/>
          </w:tcPr>
          <w:p w14:paraId="692BB20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4C59880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Not in COGs</w:t>
            </w:r>
          </w:p>
        </w:tc>
        <w:tc>
          <w:tcPr>
            <w:tcW w:w="1020" w:type="dxa"/>
          </w:tcPr>
          <w:p w14:paraId="21C5639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1,682</w:t>
            </w:r>
          </w:p>
        </w:tc>
        <w:tc>
          <w:tcPr>
            <w:tcW w:w="1304" w:type="dxa"/>
          </w:tcPr>
          <w:p w14:paraId="2C8B78C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27.21</w:t>
            </w:r>
          </w:p>
        </w:tc>
      </w:tr>
    </w:tbl>
    <w:p w14:paraId="39FC81C0" w14:textId="77777777" w:rsidR="00EC2458" w:rsidRDefault="00EC2458" w:rsidP="00EC2458">
      <w:pPr>
        <w:spacing w:after="200" w:line="276" w:lineRule="auto"/>
        <w:ind w:right="252"/>
        <w:rPr>
          <w:szCs w:val="22"/>
          <w:lang w:val="en-GB"/>
        </w:rPr>
      </w:pPr>
    </w:p>
    <w:p w14:paraId="0623602B" w14:textId="77777777" w:rsidR="00280B3E" w:rsidRDefault="00280B3E"/>
    <w:sectPr w:rsidR="00280B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950"/>
    <w:rsid w:val="00280B3E"/>
    <w:rsid w:val="002C5950"/>
    <w:rsid w:val="009E5C8D"/>
    <w:rsid w:val="00EC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D8F2A"/>
  <w15:chartTrackingRefBased/>
  <w15:docId w15:val="{7981F827-1744-4FC9-A237-254CD55CE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458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C245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C2458"/>
    <w:rPr>
      <w:rFonts w:asciiTheme="majorHAnsi" w:eastAsiaTheme="majorEastAsia" w:hAnsiTheme="majorHAnsi" w:cstheme="majorBidi"/>
      <w:i/>
      <w:iCs/>
      <w:color w:val="2F5496" w:themeColor="accent1" w:themeShade="BF"/>
      <w:szCs w:val="24"/>
      <w:lang w:val="en-US" w:eastAsia="zh-CN"/>
    </w:rPr>
  </w:style>
  <w:style w:type="paragraph" w:customStyle="1" w:styleId="Paragraph">
    <w:name w:val="Paragraph"/>
    <w:basedOn w:val="Normal"/>
    <w:rsid w:val="00EC2458"/>
    <w:pPr>
      <w:spacing w:before="120" w:line="240" w:lineRule="auto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 Zandberg</dc:creator>
  <cp:keywords/>
  <dc:description/>
  <cp:lastModifiedBy>Jaco Zandberg</cp:lastModifiedBy>
  <cp:revision>3</cp:revision>
  <dcterms:created xsi:type="dcterms:W3CDTF">2020-01-09T06:51:00Z</dcterms:created>
  <dcterms:modified xsi:type="dcterms:W3CDTF">2020-01-09T06:55:00Z</dcterms:modified>
</cp:coreProperties>
</file>